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rPr>
          <w:rFonts w:ascii="Arial" w:hAnsi="Arial" w:cs="Arial"/>
          <w:color w:val="333333"/>
          <w:szCs w:val="32"/>
        </w:rPr>
      </w:pPr>
      <w:r>
        <w:rPr>
          <w:rFonts w:hint="eastAsia" w:ascii="Arial" w:hAnsi="Arial" w:cs="Arial"/>
          <w:color w:val="333333"/>
          <w:szCs w:val="32"/>
        </w:rPr>
        <w:t>福建江夏学院2025-2026学年通识教育课程资源包</w:t>
      </w:r>
    </w:p>
    <w:p>
      <w:pPr>
        <w:pStyle w:val="3"/>
        <w:keepNext w:val="0"/>
        <w:keepLines w:val="0"/>
        <w:widowControl/>
        <w:rPr>
          <w:rFonts w:ascii="Arial" w:hAnsi="Arial" w:cs="Arial"/>
          <w:color w:val="333333"/>
          <w:szCs w:val="32"/>
        </w:rPr>
      </w:pPr>
      <w:r>
        <w:rPr>
          <w:rFonts w:hint="eastAsia" w:ascii="Arial" w:hAnsi="Arial" w:cs="Arial"/>
          <w:color w:val="333333"/>
          <w:szCs w:val="32"/>
        </w:rPr>
        <w:t>服务项目采购</w:t>
      </w:r>
      <w:r>
        <w:rPr>
          <w:rFonts w:ascii="Arial" w:hAnsi="Arial" w:cs="Arial"/>
          <w:color w:val="333333"/>
          <w:szCs w:val="32"/>
        </w:rPr>
        <w:t>报价邀请</w:t>
      </w:r>
    </w:p>
    <w:p>
      <w:pPr>
        <w:pStyle w:val="8"/>
        <w:widowControl/>
        <w:spacing w:before="29" w:beforeAutospacing="0" w:after="29" w:afterAutospacing="0" w:line="562" w:lineRule="atLeast"/>
        <w:ind w:firstLine="475"/>
        <w:rPr>
          <w:rFonts w:ascii="宋体" w:hAnsi="宋体" w:cs="宋体"/>
          <w:color w:val="333333"/>
        </w:rPr>
      </w:pPr>
      <w:r>
        <w:rPr>
          <w:rFonts w:hint="eastAsia" w:ascii="宋体" w:hAnsi="宋体" w:cs="宋体"/>
          <w:color w:val="333333"/>
        </w:rPr>
        <w:t>福建江夏学院拟对福建江夏学院2025-2026学年通识教育课程资源包服务项目执行采购，现欢迎供应商参加前来响应报价。</w:t>
      </w:r>
    </w:p>
    <w:p>
      <w:pPr>
        <w:pStyle w:val="8"/>
        <w:widowControl/>
        <w:spacing w:before="29" w:beforeAutospacing="0" w:after="29" w:afterAutospacing="0" w:line="562" w:lineRule="atLeast"/>
        <w:ind w:firstLine="475"/>
        <w:rPr>
          <w:rFonts w:ascii="宋体" w:hAnsi="宋体" w:cs="宋体"/>
          <w:color w:val="333333"/>
        </w:rPr>
      </w:pPr>
      <w:r>
        <w:rPr>
          <w:rFonts w:hint="eastAsia" w:ascii="宋体" w:hAnsi="宋体" w:cs="宋体"/>
          <w:color w:val="333333"/>
        </w:rPr>
        <w:t>1、项目名称：福建江夏学院2025-2026学年通识教育课程资源包服务项目</w:t>
      </w:r>
    </w:p>
    <w:p>
      <w:pPr>
        <w:pStyle w:val="8"/>
        <w:widowControl/>
        <w:spacing w:before="29" w:beforeAutospacing="0" w:after="29" w:afterAutospacing="0" w:line="562" w:lineRule="atLeast"/>
        <w:ind w:firstLine="475"/>
        <w:rPr>
          <w:rFonts w:ascii="宋体" w:hAnsi="宋体" w:cs="宋体"/>
          <w:color w:val="333333"/>
        </w:rPr>
      </w:pPr>
      <w:r>
        <w:rPr>
          <w:rFonts w:hint="eastAsia" w:ascii="宋体" w:hAnsi="宋体" w:cs="宋体"/>
          <w:color w:val="333333"/>
        </w:rPr>
        <w:t>2、项目最高限价：9.4万元；本项目采用最低价评审法。</w:t>
      </w:r>
    </w:p>
    <w:p>
      <w:pPr>
        <w:pStyle w:val="8"/>
        <w:widowControl/>
        <w:spacing w:before="29" w:beforeAutospacing="0" w:after="29" w:afterAutospacing="0" w:line="562" w:lineRule="atLeast"/>
        <w:ind w:firstLine="475"/>
        <w:rPr>
          <w:rFonts w:ascii="宋体" w:hAnsi="宋体" w:cs="宋体"/>
          <w:color w:val="333333"/>
        </w:rPr>
      </w:pPr>
      <w:r>
        <w:rPr>
          <w:rFonts w:hint="eastAsia" w:ascii="宋体" w:hAnsi="宋体" w:cs="宋体"/>
          <w:color w:val="333333"/>
        </w:rPr>
        <w:t>3、项目采购内容及技术要求：详见附件1。</w:t>
      </w:r>
    </w:p>
    <w:p>
      <w:pPr>
        <w:pStyle w:val="8"/>
        <w:widowControl/>
        <w:spacing w:before="29" w:beforeAutospacing="0" w:after="29" w:afterAutospacing="0" w:line="562" w:lineRule="atLeast"/>
        <w:ind w:firstLine="475"/>
        <w:rPr>
          <w:rFonts w:ascii="宋体" w:hAnsi="宋体" w:cs="宋体"/>
          <w:color w:val="333333"/>
        </w:rPr>
      </w:pPr>
      <w:r>
        <w:rPr>
          <w:rFonts w:hint="eastAsia" w:ascii="宋体" w:hAnsi="宋体" w:cs="宋体"/>
          <w:color w:val="333333"/>
        </w:rPr>
        <w:t>4、报价人的资格要求：符合《中华人民共和国政府采购法》第二十二条第一款规定的条件，且报价人需具备履行合同所必需的设备和专业技术能力，提供合法的营业执照复印件（加盖公章），法人身份证复印件等。</w:t>
      </w:r>
    </w:p>
    <w:p>
      <w:pPr>
        <w:pStyle w:val="8"/>
        <w:widowControl/>
        <w:spacing w:before="29" w:beforeAutospacing="0" w:after="29" w:afterAutospacing="0" w:line="562" w:lineRule="atLeast"/>
        <w:ind w:firstLine="475"/>
        <w:rPr>
          <w:rFonts w:ascii="宋体" w:hAnsi="宋体" w:cs="宋体"/>
          <w:color w:val="333333"/>
        </w:rPr>
      </w:pPr>
      <w:r>
        <w:rPr>
          <w:rFonts w:hint="eastAsia" w:ascii="宋体" w:hAnsi="宋体" w:cs="宋体"/>
          <w:color w:val="333333"/>
        </w:rPr>
        <w:t>5、项目交付时间：合同签订后10个工作日内根据甲方选用课程部署完毕。</w:t>
      </w:r>
    </w:p>
    <w:p>
      <w:pPr>
        <w:pStyle w:val="8"/>
        <w:widowControl/>
        <w:spacing w:before="29" w:beforeAutospacing="0" w:after="29" w:afterAutospacing="0" w:line="562" w:lineRule="atLeast"/>
        <w:ind w:firstLine="475"/>
        <w:rPr>
          <w:rFonts w:ascii="宋体" w:hAnsi="宋体" w:cs="宋体"/>
          <w:color w:val="333333"/>
        </w:rPr>
      </w:pPr>
      <w:r>
        <w:rPr>
          <w:rFonts w:hint="eastAsia" w:ascii="宋体" w:hAnsi="宋体" w:cs="宋体"/>
          <w:color w:val="333333"/>
        </w:rPr>
        <w:t>6、项目联系人：陈老师，联系电话：0591-23535179，邮箱：fjjxujxk@126.com</w:t>
      </w:r>
    </w:p>
    <w:p>
      <w:pPr>
        <w:pStyle w:val="8"/>
        <w:widowControl/>
        <w:spacing w:before="29" w:beforeAutospacing="0" w:after="29" w:afterAutospacing="0" w:line="562" w:lineRule="atLeast"/>
        <w:ind w:firstLine="475"/>
        <w:rPr>
          <w:rFonts w:ascii="宋体" w:hAnsi="宋体" w:cs="宋体"/>
          <w:color w:val="333333"/>
        </w:rPr>
      </w:pPr>
      <w:r>
        <w:rPr>
          <w:rFonts w:hint="eastAsia" w:ascii="宋体" w:hAnsi="宋体" w:cs="宋体"/>
          <w:color w:val="333333"/>
        </w:rPr>
        <w:t>7、公告期限：自2025年9月16日1</w:t>
      </w:r>
      <w:r>
        <w:rPr>
          <w:rFonts w:hint="eastAsia" w:ascii="宋体" w:hAnsi="宋体" w:cs="宋体"/>
          <w:color w:val="333333"/>
          <w:lang w:val="en-US" w:eastAsia="zh-CN"/>
        </w:rPr>
        <w:t>2</w:t>
      </w:r>
      <w:r>
        <w:rPr>
          <w:rFonts w:hint="eastAsia" w:ascii="宋体" w:hAnsi="宋体" w:cs="宋体"/>
          <w:color w:val="333333"/>
        </w:rPr>
        <w:t>:00至2025年9月19日1</w:t>
      </w:r>
      <w:r>
        <w:rPr>
          <w:rFonts w:hint="eastAsia" w:ascii="宋体" w:hAnsi="宋体" w:cs="宋体"/>
          <w:color w:val="333333"/>
          <w:lang w:val="en-US" w:eastAsia="zh-CN"/>
        </w:rPr>
        <w:t>2</w:t>
      </w:r>
      <w:r>
        <w:rPr>
          <w:rFonts w:hint="eastAsia" w:ascii="宋体" w:hAnsi="宋体" w:cs="宋体"/>
          <w:color w:val="333333"/>
        </w:rPr>
        <w:t>:00</w:t>
      </w:r>
    </w:p>
    <w:p>
      <w:pPr>
        <w:pStyle w:val="8"/>
        <w:widowControl/>
        <w:spacing w:before="29" w:beforeAutospacing="0" w:after="29" w:afterAutospacing="0" w:line="562" w:lineRule="atLeast"/>
        <w:ind w:firstLine="475"/>
        <w:rPr>
          <w:rFonts w:ascii="宋体" w:hAnsi="宋体" w:cs="宋体"/>
          <w:color w:val="333333"/>
        </w:rPr>
      </w:pPr>
      <w:r>
        <w:rPr>
          <w:rFonts w:hint="eastAsia" w:ascii="宋体" w:hAnsi="宋体" w:cs="宋体"/>
          <w:color w:val="333333"/>
        </w:rPr>
        <w:t>8、报价截止时间及地点：截止至2025年9月19日1</w:t>
      </w:r>
      <w:r>
        <w:rPr>
          <w:rFonts w:hint="eastAsia" w:ascii="宋体" w:hAnsi="宋体" w:cs="宋体"/>
          <w:color w:val="333333"/>
          <w:lang w:val="en-US" w:eastAsia="zh-CN"/>
        </w:rPr>
        <w:t>2</w:t>
      </w:r>
      <w:r>
        <w:rPr>
          <w:rFonts w:hint="eastAsia" w:ascii="宋体" w:hAnsi="宋体" w:cs="宋体"/>
          <w:color w:val="333333"/>
        </w:rPr>
        <w:t>:00。报价文件按本报价邀请直接打印，加盖报价单位公章，需密封提交。提交地点：福建省福州地区大学新校区溪源宫路2号福建江夏学院行政楼2楼教务处B204-1室。</w:t>
      </w:r>
    </w:p>
    <w:p>
      <w:r>
        <w:rPr>
          <w:rFonts w:hint="eastAsia"/>
        </w:rPr>
        <w:br w:type="page"/>
      </w:r>
    </w:p>
    <w:p>
      <w:pPr>
        <w:pStyle w:val="8"/>
        <w:ind w:firstLine="480"/>
      </w:pPr>
      <w:r>
        <w:rPr>
          <w:rFonts w:hint="eastAsia"/>
        </w:rPr>
        <w:t>附件1</w:t>
      </w:r>
    </w:p>
    <w:p>
      <w:pPr>
        <w:pStyle w:val="8"/>
        <w:ind w:firstLine="562"/>
        <w:jc w:val="center"/>
        <w:rPr>
          <w:b/>
          <w:sz w:val="28"/>
          <w:szCs w:val="28"/>
        </w:rPr>
      </w:pPr>
      <w:r>
        <w:rPr>
          <w:rFonts w:hint="eastAsia"/>
          <w:b/>
          <w:sz w:val="28"/>
          <w:szCs w:val="28"/>
        </w:rPr>
        <w:t>项目采购内容及技术要求</w:t>
      </w:r>
    </w:p>
    <w:p>
      <w:pPr>
        <w:pStyle w:val="8"/>
        <w:rPr>
          <w:rStyle w:val="12"/>
        </w:rPr>
      </w:pPr>
      <w:bookmarkStart w:id="0" w:name="_Toc68089226"/>
      <w:r>
        <w:rPr>
          <w:rStyle w:val="12"/>
          <w:rFonts w:hint="eastAsia"/>
        </w:rPr>
        <w:t>一、课程类型及课程数量要求</w:t>
      </w:r>
    </w:p>
    <w:p>
      <w:pPr>
        <w:spacing w:line="460" w:lineRule="exact"/>
        <w:ind w:firstLine="480" w:firstLineChars="200"/>
        <w:rPr>
          <w:rFonts w:hint="eastAsia" w:ascii="宋体" w:hAnsi="宋体" w:cs="宋体"/>
        </w:rPr>
      </w:pPr>
      <w:r>
        <w:rPr>
          <w:rFonts w:hint="eastAsia" w:ascii="宋体" w:hAnsi="宋体" w:cs="宋体"/>
        </w:rPr>
        <w:t>根据我校人才培养方案需要，课程类型需覆盖科学教育和人文教育，包括但不限于人工智能教育、四史教育、大学生廉洁教育、中华传统文化、生态文明教育、美育、劳动教育、安全健康教育、创新创业教育等类型。</w:t>
      </w:r>
    </w:p>
    <w:p>
      <w:pPr>
        <w:spacing w:line="460" w:lineRule="exact"/>
        <w:ind w:firstLine="480" w:firstLineChars="200"/>
        <w:rPr>
          <w:rFonts w:hint="eastAsia" w:ascii="宋体" w:hAnsi="宋体" w:cs="宋体"/>
        </w:rPr>
      </w:pPr>
      <w:r>
        <w:rPr>
          <w:rFonts w:hint="eastAsia" w:ascii="宋体" w:hAnsi="宋体" w:cs="宋体"/>
        </w:rPr>
        <w:t>可供选择的课程总量不低于500门，且多数应获得国家级或省级课程认定。</w:t>
      </w:r>
    </w:p>
    <w:p>
      <w:pPr>
        <w:pStyle w:val="8"/>
        <w:rPr>
          <w:rStyle w:val="12"/>
        </w:rPr>
      </w:pPr>
      <w:r>
        <w:rPr>
          <w:rStyle w:val="12"/>
          <w:rFonts w:hint="eastAsia"/>
        </w:rPr>
        <w:t>二、重点课程类型要求</w:t>
      </w:r>
    </w:p>
    <w:p>
      <w:pPr>
        <w:spacing w:line="460" w:lineRule="exact"/>
        <w:ind w:firstLine="480" w:firstLineChars="200"/>
        <w:rPr>
          <w:rFonts w:ascii="宋体" w:hAnsi="宋体" w:cs="宋体"/>
        </w:rPr>
      </w:pPr>
      <w:r>
        <w:rPr>
          <w:rFonts w:hint="eastAsia" w:ascii="宋体" w:hAnsi="宋体" w:cs="宋体"/>
        </w:rPr>
        <w:t>（1）人工智能教育：包含人工智能基础导论、专业进阶、前沿拓展等不同模块。课程体系针对人文艺术、社科、理工等专业方向有不同课程以适应不同学生需求，难度包含从入门到专业，课程内容包含理论学习与实验实践，课程应用包括常用AI工具等，同时包含人工智能在机器人、创新创业、创意设计等方向的前沿应用，总数量不少于50门。</w:t>
      </w:r>
    </w:p>
    <w:p>
      <w:pPr>
        <w:spacing w:line="460" w:lineRule="exact"/>
        <w:ind w:firstLine="480" w:firstLineChars="200"/>
        <w:rPr>
          <w:rFonts w:ascii="宋体" w:hAnsi="宋体" w:cs="宋体"/>
        </w:rPr>
      </w:pPr>
      <w:r>
        <w:rPr>
          <w:rFonts w:hint="eastAsia" w:ascii="宋体" w:hAnsi="宋体" w:cs="宋体"/>
        </w:rPr>
        <w:t>（2）综合素养模块：含四史教育、廉洁教育、中华传统文化、生态文明教育、经典导读等，其中四史教育需覆盖学校所需要的《党史》《新中国史》《改革开放史》《社会主义发展史》等课程。经典导读需覆盖哲学、历史、文学、社会、科学、国学各领域经典，每门课程只导读1本著作，总量不少于25门。</w:t>
      </w:r>
    </w:p>
    <w:p>
      <w:pPr>
        <w:spacing w:line="460" w:lineRule="exact"/>
        <w:ind w:firstLine="480" w:firstLineChars="200"/>
        <w:rPr>
          <w:rFonts w:ascii="宋体" w:hAnsi="宋体" w:cs="宋体"/>
        </w:rPr>
      </w:pPr>
      <w:r>
        <w:rPr>
          <w:rFonts w:hint="eastAsia" w:ascii="宋体" w:hAnsi="宋体" w:cs="宋体"/>
        </w:rPr>
        <w:t>（3）安全健康教育：符合《普通高等学校健康教育指导纲要》</w:t>
      </w:r>
      <w:r>
        <w:rPr>
          <w:rFonts w:hint="eastAsia" w:ascii="宋体" w:hAnsi="宋体" w:cs="宋体"/>
          <w:lang w:eastAsia="zh-CN"/>
        </w:rPr>
        <w:t>（</w:t>
      </w:r>
      <w:r>
        <w:rPr>
          <w:rFonts w:hint="eastAsia" w:ascii="宋体" w:hAnsi="宋体" w:cs="宋体"/>
        </w:rPr>
        <w:t>教育部教体艺〔2017〕5号</w:t>
      </w:r>
      <w:r>
        <w:rPr>
          <w:rFonts w:hint="eastAsia" w:ascii="宋体" w:hAnsi="宋体" w:cs="宋体"/>
          <w:lang w:eastAsia="zh-CN"/>
        </w:rPr>
        <w:t>）</w:t>
      </w:r>
      <w:r>
        <w:rPr>
          <w:rFonts w:hint="eastAsia" w:ascii="宋体" w:hAnsi="宋体" w:cs="宋体"/>
        </w:rPr>
        <w:t>内容要求。此外还需包含心理健康课程，并符合《高等学校学生心理健康教育指导纲要》（教育部教党〔2018〕41号）内容要求。</w:t>
      </w:r>
    </w:p>
    <w:p>
      <w:pPr>
        <w:spacing w:line="460" w:lineRule="exact"/>
        <w:ind w:firstLine="480" w:firstLineChars="200"/>
        <w:rPr>
          <w:rFonts w:ascii="宋体" w:hAnsi="宋体" w:cs="宋体"/>
        </w:rPr>
      </w:pPr>
      <w:r>
        <w:rPr>
          <w:rFonts w:hint="eastAsia" w:ascii="宋体" w:hAnsi="宋体" w:cs="宋体"/>
        </w:rPr>
        <w:t>（4）国家安全教育：符合《大中小学国家安全教育指导纲要》（教育部教材〔2020〕5号）中相关要求。</w:t>
      </w:r>
    </w:p>
    <w:p>
      <w:pPr>
        <w:spacing w:line="460" w:lineRule="exact"/>
        <w:ind w:firstLine="480" w:firstLineChars="200"/>
        <w:rPr>
          <w:rFonts w:ascii="宋体" w:hAnsi="宋体" w:cs="宋体"/>
        </w:rPr>
      </w:pPr>
      <w:r>
        <w:rPr>
          <w:rFonts w:hint="eastAsia" w:ascii="宋体" w:hAnsi="宋体" w:cs="宋体"/>
        </w:rPr>
        <w:t>（5）美育课程：需包含《全国普通高等学校公共艺术课程指导方案》（教育部教体艺厅〔2006〕3号）规定的《艺术导论》《音乐鉴赏》《美术鉴赏》《影视鉴赏》《戏剧鉴赏》《舞蹈鉴赏》《书法鉴赏》《戏曲鉴赏》等8门课程且课程名称保持一致。</w:t>
      </w:r>
    </w:p>
    <w:p>
      <w:pPr>
        <w:spacing w:line="460" w:lineRule="exact"/>
        <w:ind w:firstLine="480" w:firstLineChars="200"/>
        <w:rPr>
          <w:rFonts w:ascii="宋体" w:hAnsi="宋体" w:cs="宋体"/>
        </w:rPr>
      </w:pPr>
      <w:r>
        <w:rPr>
          <w:rFonts w:hint="eastAsia" w:ascii="宋体" w:hAnsi="宋体" w:cs="宋体"/>
        </w:rPr>
        <w:t>（6）劳动教育：至少2门课程来自中华全国总工会直属高校，以劳动知识、劳模精神、工匠精神为主。总量不少于5门。</w:t>
      </w:r>
    </w:p>
    <w:p>
      <w:pPr>
        <w:spacing w:line="460" w:lineRule="exact"/>
        <w:ind w:firstLine="480" w:firstLineChars="200"/>
        <w:rPr>
          <w:rFonts w:ascii="宋体" w:hAnsi="宋体" w:cs="宋体"/>
        </w:rPr>
      </w:pPr>
      <w:r>
        <w:rPr>
          <w:rFonts w:hint="eastAsia" w:ascii="宋体" w:hAnsi="宋体" w:cs="宋体"/>
        </w:rPr>
        <w:t>（7）示范选修课：针对大学生心理健康教育、劳动教育、创新创业基础、大学生健康教育、军事理论、大学生恋爱与性健康、大学生职业发展与就业指导、大学生国家安全教育、垃圾分类、习近平总书记关于教育的重要论述研究等10类课程。</w:t>
      </w:r>
    </w:p>
    <w:p>
      <w:pPr>
        <w:pStyle w:val="8"/>
        <w:rPr>
          <w:rStyle w:val="12"/>
        </w:rPr>
      </w:pPr>
      <w:r>
        <w:rPr>
          <w:rStyle w:val="12"/>
          <w:rFonts w:hint="eastAsia"/>
        </w:rPr>
        <w:t>三、配套资源要求及其他要求</w:t>
      </w:r>
    </w:p>
    <w:p>
      <w:pPr>
        <w:spacing w:line="460" w:lineRule="exact"/>
        <w:ind w:firstLine="480" w:firstLineChars="200"/>
        <w:rPr>
          <w:rFonts w:ascii="宋体" w:hAnsi="宋体" w:cs="宋体"/>
        </w:rPr>
      </w:pPr>
      <w:r>
        <w:rPr>
          <w:rFonts w:hint="eastAsia" w:ascii="宋体" w:hAnsi="宋体" w:cs="宋体"/>
        </w:rPr>
        <w:t>（1）阅读资源：每门课程可提供独立的拓展阅读功能模块，不得作为课程章节中插入的资料、文本形式提供。提供的阅读资源应包含片段阅读和全本阅读两种类型。课程主题不少于200条阅读资源，所有主题累计资源不少于4000条。</w:t>
      </w:r>
    </w:p>
    <w:p>
      <w:pPr>
        <w:spacing w:line="460" w:lineRule="exact"/>
        <w:ind w:firstLine="480" w:firstLineChars="200"/>
        <w:rPr>
          <w:rFonts w:ascii="宋体" w:hAnsi="宋体" w:cs="宋体"/>
        </w:rPr>
      </w:pPr>
      <w:r>
        <w:rPr>
          <w:rFonts w:hint="eastAsia" w:ascii="宋体" w:hAnsi="宋体" w:cs="宋体"/>
        </w:rPr>
        <w:t>（2）配套题库：题库应包括单选题、多选题、判断题、填空题、简答题等五种题型。课程视频数量多于20个的，每门课程配套题库题目数量应不少于100道。教育主管部门相关政策另有规定时以具体规定为准。</w:t>
      </w:r>
    </w:p>
    <w:p>
      <w:pPr>
        <w:spacing w:line="460" w:lineRule="exact"/>
        <w:ind w:firstLine="480" w:firstLineChars="200"/>
        <w:rPr>
          <w:rFonts w:ascii="宋体" w:hAnsi="宋体" w:cs="宋体"/>
        </w:rPr>
      </w:pPr>
      <w:r>
        <w:rPr>
          <w:rFonts w:hint="eastAsia" w:ascii="宋体" w:hAnsi="宋体" w:cs="宋体"/>
        </w:rPr>
        <w:t>（3）期末考试：可提供难、中、易三种难度期末试卷供用户选择。难度为“易”的试卷需包括单选题、多选题、判断题三种题型；难度为“中”的试卷需包括单选题、多选题、判断题、填空题四种题型；难度为“难”的试卷需包括单选题、多选题、判断题、填空题、简答题。教育主管部门相关政策另有规定时以具体规定为准。考试支持试卷随机出题，支持网页端、移动端、客户端等多种考试端口，支持线上线下多种考试途径，考试过程支持人脸识别、切屏控制、直播监考、对违纪学生自动收卷等在线监考功能，支持对需要补考的学生直接按条件筛选后发放补考，且补考成绩可直接替换为最终考试成绩。供应商需对此项做出承诺。</w:t>
      </w:r>
    </w:p>
    <w:p>
      <w:pPr>
        <w:spacing w:line="460" w:lineRule="exact"/>
        <w:ind w:firstLine="480" w:firstLineChars="200"/>
        <w:rPr>
          <w:rFonts w:ascii="宋体" w:hAnsi="宋体" w:cs="宋体"/>
        </w:rPr>
      </w:pPr>
      <w:r>
        <w:rPr>
          <w:rFonts w:hint="eastAsia" w:ascii="宋体" w:hAnsi="宋体" w:cs="宋体"/>
        </w:rPr>
        <w:t>（4）开学教育要求内容每学期更新。课程以直播形式开展，每次直播只讲授一个主题，时长不少于40分钟。每学期直播时间不早于开学日前30个自然日，不晚于开学日后15个自然日。须提供2021年1月1日起至投标截止时间止，供应商承担过开学教育或开学第一课的直播并提供直播截图≥2个。直播截图内容包括但不限于直播过程中学生留言互动情况证明直播时间、体现“开学教育”“开学第一课”直播内容的证明。注：提供的直播截图内容不得为同一直播主题。</w:t>
      </w:r>
    </w:p>
    <w:p>
      <w:pPr>
        <w:spacing w:line="460" w:lineRule="exact"/>
        <w:ind w:firstLine="480" w:firstLineChars="200"/>
        <w:rPr>
          <w:rFonts w:ascii="宋体" w:hAnsi="宋体" w:cs="宋体"/>
        </w:rPr>
      </w:pPr>
      <w:r>
        <w:rPr>
          <w:rFonts w:hint="eastAsia" w:ascii="宋体" w:hAnsi="宋体" w:cs="宋体"/>
        </w:rPr>
        <w:t>（5）师资情况：70%以上课程的教师团队应至少包含一名来自双一流高校、中国科学院、中国工程院、中国社会科学院等机构的教师。70%以上课程的教师团队应至少包含一名教授或同级别职称教师。</w:t>
      </w:r>
    </w:p>
    <w:p>
      <w:pPr>
        <w:spacing w:line="460" w:lineRule="exact"/>
        <w:ind w:firstLine="480" w:firstLineChars="200"/>
        <w:rPr>
          <w:rFonts w:ascii="宋体" w:hAnsi="宋体" w:cs="宋体"/>
        </w:rPr>
      </w:pPr>
      <w:r>
        <w:rPr>
          <w:rFonts w:hint="eastAsia" w:ascii="宋体" w:hAnsi="宋体" w:cs="宋体"/>
        </w:rPr>
        <w:t>（6）供应商应承担课程版权事宜，不得给采购人带来版权纠纷，不会因为相关争议影响采购人正常使用。</w:t>
      </w:r>
    </w:p>
    <w:bookmarkEnd w:id="0"/>
    <w:p>
      <w:pPr>
        <w:pStyle w:val="8"/>
        <w:rPr>
          <w:rStyle w:val="12"/>
        </w:rPr>
      </w:pPr>
      <w:r>
        <w:rPr>
          <w:rStyle w:val="12"/>
          <w:rFonts w:hint="eastAsia"/>
        </w:rPr>
        <w:t>四、运行服务要求</w:t>
      </w:r>
    </w:p>
    <w:p>
      <w:pPr>
        <w:spacing w:line="460" w:lineRule="exact"/>
        <w:ind w:firstLine="480" w:firstLineChars="200"/>
        <w:rPr>
          <w:rStyle w:val="12"/>
          <w:rFonts w:ascii="宋体" w:hAnsi="宋体" w:cs="宋体"/>
          <w:b w:val="0"/>
          <w:kern w:val="0"/>
          <w:shd w:val="clear" w:color="auto" w:fill="FFFFFF"/>
        </w:rPr>
      </w:pPr>
      <w:r>
        <w:rPr>
          <w:rStyle w:val="12"/>
          <w:rFonts w:hint="eastAsia" w:ascii="宋体" w:hAnsi="宋体" w:cs="宋体"/>
          <w:b w:val="0"/>
          <w:kern w:val="0"/>
          <w:shd w:val="clear" w:color="auto" w:fill="FFFFFF"/>
        </w:rPr>
        <w:t>（1）具备保障校内万人同时在线学习的运营服务能力。为方便课程管理及学生学习，供应商提供的课程资源需能够部署到学校现有智慧教学系统中供学生学习。其中涉及到的部署费用由供应商承担，供应商需对此项做出承诺。</w:t>
      </w:r>
    </w:p>
    <w:p>
      <w:pPr>
        <w:spacing w:line="460" w:lineRule="exact"/>
        <w:ind w:firstLine="480" w:firstLineChars="200"/>
        <w:rPr>
          <w:rStyle w:val="12"/>
          <w:rFonts w:ascii="宋体" w:hAnsi="宋体" w:cs="宋体"/>
          <w:b w:val="0"/>
          <w:kern w:val="0"/>
          <w:shd w:val="clear" w:color="auto" w:fill="FFFFFF"/>
        </w:rPr>
      </w:pPr>
      <w:r>
        <w:rPr>
          <w:rStyle w:val="12"/>
          <w:rFonts w:hint="eastAsia" w:ascii="宋体" w:hAnsi="宋体" w:cs="宋体"/>
          <w:b w:val="0"/>
          <w:kern w:val="0"/>
          <w:shd w:val="clear" w:color="auto" w:fill="FFFFFF"/>
        </w:rPr>
        <w:t>（2）采购人从供应商提供的</w:t>
      </w:r>
      <w:r>
        <w:rPr>
          <w:rFonts w:hint="eastAsia" w:ascii="宋体" w:hAnsi="宋体" w:cs="宋体"/>
        </w:rPr>
        <w:t>通识教育课程资源包选择20门课程供学生学习。</w:t>
      </w:r>
    </w:p>
    <w:p>
      <w:pPr>
        <w:spacing w:line="460" w:lineRule="exact"/>
        <w:ind w:firstLine="480" w:firstLineChars="200"/>
        <w:rPr>
          <w:rFonts w:ascii="宋体" w:hAnsi="宋体" w:cs="宋体"/>
          <w:shd w:val="clear" w:color="auto" w:fill="FFFFFF"/>
        </w:rPr>
      </w:pPr>
      <w:r>
        <w:rPr>
          <w:rStyle w:val="12"/>
          <w:rFonts w:hint="eastAsia" w:ascii="宋体" w:hAnsi="宋体" w:cs="宋体"/>
          <w:b w:val="0"/>
          <w:kern w:val="0"/>
          <w:shd w:val="clear" w:color="auto" w:fill="FFFFFF"/>
        </w:rPr>
        <w:t>（3）本项目服务期为1年，服务期自验收之日起计算。合同签订后，供应商需在10个工作日内根据用户选用课程部署完毕。验收时，供应商须向采购人逐条演示项目采购内容及技术要求，所需重点课程须在学校教学平台搭建并完整展示；</w:t>
      </w:r>
      <w:r>
        <w:rPr>
          <w:rFonts w:hint="eastAsia" w:ascii="宋体" w:hAnsi="宋体" w:cs="宋体"/>
          <w:bCs/>
          <w:shd w:val="clear" w:color="auto" w:fill="FFFFFF"/>
        </w:rPr>
        <w:t>项目经采购人验收合格后，供应商开具项目中标金额全额发票，采购人在收到发票之日起15个日历日内完成</w:t>
      </w:r>
      <w:r>
        <w:rPr>
          <w:rFonts w:hint="eastAsia" w:ascii="宋体" w:hAnsi="宋体" w:cs="宋体"/>
          <w:shd w:val="clear" w:color="auto" w:fill="FFFFFF"/>
        </w:rPr>
        <w:t>支付。</w:t>
      </w:r>
    </w:p>
    <w:p>
      <w:pPr>
        <w:spacing w:line="460" w:lineRule="exact"/>
        <w:ind w:firstLine="480" w:firstLineChars="200"/>
        <w:rPr>
          <w:rStyle w:val="12"/>
          <w:rFonts w:ascii="宋体" w:hAnsi="宋体" w:cs="宋体"/>
          <w:b w:val="0"/>
          <w:kern w:val="0"/>
          <w:shd w:val="clear" w:color="auto" w:fill="FFFFFF"/>
        </w:rPr>
      </w:pPr>
      <w:r>
        <w:rPr>
          <w:rStyle w:val="12"/>
          <w:rFonts w:hint="eastAsia" w:ascii="宋体" w:hAnsi="宋体" w:cs="宋体"/>
          <w:b w:val="0"/>
          <w:kern w:val="0"/>
          <w:shd w:val="clear" w:color="auto" w:fill="FFFFFF"/>
        </w:rPr>
        <w:t>（4）提供学生学习进度监控、课程访问统计分析、学习诚信监控，可根据学校需求提供教学运行数据和学习数据异常名单。提供教学和教务全程服务，包括开课/结课的所有对接服务，学生信息、学习成绩及学分的导入/导出等。</w:t>
      </w:r>
    </w:p>
    <w:p>
      <w:pPr>
        <w:spacing w:line="460" w:lineRule="exact"/>
        <w:ind w:firstLine="480" w:firstLineChars="200"/>
        <w:rPr>
          <w:rStyle w:val="12"/>
          <w:rFonts w:ascii="宋体" w:hAnsi="宋体" w:cs="宋体"/>
          <w:kern w:val="0"/>
          <w:shd w:val="clear" w:color="auto" w:fill="FFFFFF"/>
        </w:rPr>
      </w:pPr>
      <w:r>
        <w:rPr>
          <w:rStyle w:val="12"/>
          <w:rFonts w:hint="eastAsia" w:ascii="宋体" w:hAnsi="宋体" w:cs="宋体"/>
          <w:b w:val="0"/>
          <w:kern w:val="0"/>
          <w:shd w:val="clear" w:color="auto" w:fill="FFFFFF"/>
        </w:rPr>
        <w:t>（5）服务期内，</w:t>
      </w:r>
      <w:r>
        <w:rPr>
          <w:rStyle w:val="12"/>
          <w:rFonts w:hint="eastAsia" w:hAnsi="宋体" w:cs="宋体"/>
          <w:b w:val="0"/>
          <w:kern w:val="0"/>
          <w:shd w:val="clear" w:color="auto" w:fill="FFFFFF"/>
        </w:rPr>
        <w:t>供应商</w:t>
      </w:r>
      <w:r>
        <w:rPr>
          <w:rStyle w:val="12"/>
          <w:rFonts w:hint="eastAsia" w:ascii="宋体" w:hAnsi="宋体" w:cs="宋体"/>
          <w:b w:val="0"/>
          <w:kern w:val="0"/>
          <w:shd w:val="clear" w:color="auto" w:fill="FFFFFF"/>
        </w:rPr>
        <w:t>须配合学校工作需要，配合提供课程设置、教学大纲、课程信息、课程资源等服务期内的相关详细材料。</w:t>
      </w:r>
    </w:p>
    <w:p>
      <w:pPr>
        <w:adjustRightInd w:val="0"/>
        <w:snapToGrid w:val="0"/>
        <w:spacing w:line="460" w:lineRule="exact"/>
        <w:ind w:firstLine="480" w:firstLineChars="200"/>
        <w:rPr>
          <w:rStyle w:val="12"/>
          <w:rFonts w:ascii="宋体" w:hAnsi="宋体" w:cs="宋体"/>
          <w:b w:val="0"/>
          <w:kern w:val="0"/>
          <w:shd w:val="clear" w:color="auto" w:fill="FFFFFF"/>
        </w:rPr>
      </w:pPr>
      <w:r>
        <w:rPr>
          <w:rStyle w:val="12"/>
          <w:rFonts w:hint="eastAsia" w:ascii="宋体" w:hAnsi="宋体" w:cs="宋体"/>
          <w:b w:val="0"/>
          <w:kern w:val="0"/>
          <w:shd w:val="clear" w:color="auto" w:fill="FFFFFF"/>
        </w:rPr>
        <w:t>（6）承诺全托管运维服务：要求7×24小时的全托管运维服务。覆盖学生选课和学习全部阶段。提供上门支持、操作培训、在线客服、电话客服、邮箱客服等多种服务形式。</w:t>
      </w:r>
      <w:r>
        <w:rPr>
          <w:rFonts w:hint="eastAsia" w:ascii="宋体" w:hAnsi="宋体" w:cs="宋体"/>
          <w:kern w:val="0"/>
          <w:shd w:val="clear" w:color="auto" w:fill="FFFFFF"/>
        </w:rPr>
        <w:t>对于平台数据恢复等故障服务，供应商承诺在接到系统故障通知后，2小时内响应，24小时内执行服务，2个工作日内排除故障，由此产生的费用均由中标供应商承担。</w:t>
      </w:r>
    </w:p>
    <w:p>
      <w:pPr>
        <w:spacing w:line="460" w:lineRule="exact"/>
        <w:ind w:firstLine="480" w:firstLineChars="200"/>
        <w:rPr>
          <w:rFonts w:ascii="宋体" w:hAnsi="宋体" w:cs="宋体"/>
          <w:b/>
          <w:bCs/>
        </w:rPr>
      </w:pPr>
      <w:r>
        <w:rPr>
          <w:rStyle w:val="12"/>
          <w:rFonts w:hint="eastAsia" w:ascii="宋体" w:hAnsi="宋体" w:cs="宋体"/>
          <w:b w:val="0"/>
          <w:kern w:val="0"/>
          <w:shd w:val="clear" w:color="auto" w:fill="FFFFFF"/>
        </w:rPr>
        <w:t>（7）运维人员要求:供应商应为本项目提供课程服务运维人员，至少2人具备保密教育培训证书。</w:t>
      </w:r>
      <w:r>
        <w:rPr>
          <w:rFonts w:hint="eastAsia" w:ascii="宋体" w:hAnsi="宋体" w:cs="宋体"/>
        </w:rPr>
        <w:t>供应商提供证书复印件（证书中必须体现证书编号）。</w:t>
      </w:r>
    </w:p>
    <w:p>
      <w:r>
        <w:rPr>
          <w:rFonts w:hint="eastAsia" w:ascii="宋体" w:hAnsi="宋体" w:cs="宋体"/>
          <w:sz w:val="28"/>
          <w:szCs w:val="28"/>
        </w:rPr>
        <w:br w:type="page"/>
      </w:r>
    </w:p>
    <w:p>
      <w:pPr>
        <w:pStyle w:val="8"/>
        <w:widowControl/>
        <w:spacing w:beforeAutospacing="0" w:afterAutospacing="0" w:line="500" w:lineRule="exact"/>
        <w:jc w:val="center"/>
        <w:rPr>
          <w:b/>
          <w:bCs/>
        </w:rPr>
      </w:pPr>
      <w:bookmarkStart w:id="1" w:name="_GoBack"/>
      <w:bookmarkEnd w:id="1"/>
      <w:r>
        <w:rPr>
          <w:rFonts w:hint="eastAsia" w:ascii="宋体" w:hAnsi="宋体" w:cs="宋体"/>
          <w:b/>
          <w:bCs/>
          <w:sz w:val="28"/>
          <w:szCs w:val="28"/>
        </w:rPr>
        <w:t>报价回执单</w:t>
      </w:r>
    </w:p>
    <w:tbl>
      <w:tblPr>
        <w:tblStyle w:val="9"/>
        <w:tblW w:w="8505" w:type="dxa"/>
        <w:tblCellSpacing w:w="0" w:type="dxa"/>
        <w:tblInd w:w="15" w:type="dxa"/>
        <w:tblLayout w:type="fixed"/>
        <w:tblCellMar>
          <w:top w:w="0" w:type="dxa"/>
          <w:left w:w="0" w:type="dxa"/>
          <w:bottom w:w="0" w:type="dxa"/>
          <w:right w:w="0" w:type="dxa"/>
        </w:tblCellMar>
      </w:tblPr>
      <w:tblGrid>
        <w:gridCol w:w="2835"/>
        <w:gridCol w:w="2835"/>
        <w:gridCol w:w="2835"/>
      </w:tblGrid>
      <w:tr>
        <w:tblPrEx>
          <w:tblCellMar>
            <w:top w:w="0" w:type="dxa"/>
            <w:left w:w="0" w:type="dxa"/>
            <w:bottom w:w="0" w:type="dxa"/>
            <w:right w:w="0" w:type="dxa"/>
          </w:tblCellMar>
        </w:tblPrEx>
        <w:trPr>
          <w:tblCellSpacing w:w="0" w:type="dxa"/>
        </w:trPr>
        <w:tc>
          <w:tcPr>
            <w:tcW w:w="2835" w:type="dxa"/>
            <w:tcBorders>
              <w:top w:val="single" w:color="auto" w:sz="6" w:space="0"/>
              <w:left w:val="single" w:color="auto" w:sz="6" w:space="0"/>
              <w:bottom w:val="single" w:color="auto" w:sz="6" w:space="0"/>
              <w:right w:val="single" w:color="auto" w:sz="6" w:space="0"/>
            </w:tcBorders>
            <w:noWrap/>
            <w:tcMar>
              <w:left w:w="105" w:type="dxa"/>
              <w:right w:w="105" w:type="dxa"/>
            </w:tcMar>
          </w:tcPr>
          <w:p>
            <w:pPr>
              <w:pStyle w:val="8"/>
              <w:widowControl/>
              <w:spacing w:beforeAutospacing="0" w:afterAutospacing="0" w:line="500" w:lineRule="exact"/>
              <w:jc w:val="center"/>
              <w:rPr>
                <w:sz w:val="28"/>
                <w:szCs w:val="28"/>
              </w:rPr>
            </w:pPr>
            <w:r>
              <w:rPr>
                <w:rFonts w:ascii="Times New Roman" w:hAnsi="Times New Roman"/>
                <w:sz w:val="28"/>
                <w:szCs w:val="28"/>
              </w:rPr>
              <w:t>报价</w:t>
            </w:r>
            <w:r>
              <w:rPr>
                <w:rFonts w:hint="eastAsia" w:ascii="Times New Roman" w:hAnsi="Times New Roman"/>
                <w:sz w:val="28"/>
                <w:szCs w:val="28"/>
              </w:rPr>
              <w:t>供应商</w:t>
            </w:r>
            <w:r>
              <w:rPr>
                <w:rFonts w:ascii="Times New Roman" w:hAnsi="Times New Roman"/>
                <w:sz w:val="28"/>
                <w:szCs w:val="28"/>
              </w:rPr>
              <w:t>名称</w:t>
            </w:r>
          </w:p>
          <w:p>
            <w:pPr>
              <w:pStyle w:val="8"/>
              <w:widowControl/>
              <w:spacing w:beforeAutospacing="0" w:afterAutospacing="0" w:line="500" w:lineRule="exact"/>
              <w:jc w:val="center"/>
              <w:rPr>
                <w:sz w:val="28"/>
                <w:szCs w:val="28"/>
              </w:rPr>
            </w:pPr>
            <w:r>
              <w:rPr>
                <w:rFonts w:ascii="Times New Roman" w:hAnsi="Times New Roman"/>
                <w:sz w:val="28"/>
                <w:szCs w:val="28"/>
              </w:rPr>
              <w:t>（加盖公章）</w:t>
            </w:r>
          </w:p>
        </w:tc>
        <w:tc>
          <w:tcPr>
            <w:tcW w:w="2835" w:type="dxa"/>
            <w:tcBorders>
              <w:top w:val="single" w:color="auto" w:sz="6" w:space="0"/>
              <w:left w:val="nil"/>
              <w:bottom w:val="single" w:color="auto" w:sz="6" w:space="0"/>
              <w:right w:val="single" w:color="auto" w:sz="6" w:space="0"/>
            </w:tcBorders>
            <w:noWrap/>
            <w:tcMar>
              <w:left w:w="105" w:type="dxa"/>
              <w:right w:w="105" w:type="dxa"/>
            </w:tcMar>
            <w:vAlign w:val="center"/>
          </w:tcPr>
          <w:p>
            <w:pPr>
              <w:pStyle w:val="8"/>
              <w:widowControl/>
              <w:spacing w:beforeAutospacing="0" w:afterAutospacing="0" w:line="500" w:lineRule="exact"/>
              <w:jc w:val="center"/>
              <w:rPr>
                <w:sz w:val="28"/>
                <w:szCs w:val="28"/>
              </w:rPr>
            </w:pPr>
            <w:r>
              <w:rPr>
                <w:rFonts w:ascii="Times New Roman" w:hAnsi="Times New Roman"/>
                <w:sz w:val="28"/>
                <w:szCs w:val="28"/>
              </w:rPr>
              <w:t>项目报价</w:t>
            </w:r>
          </w:p>
          <w:p>
            <w:pPr>
              <w:pStyle w:val="8"/>
              <w:widowControl/>
              <w:spacing w:beforeAutospacing="0" w:afterAutospacing="0" w:line="500" w:lineRule="exact"/>
              <w:jc w:val="center"/>
              <w:rPr>
                <w:sz w:val="28"/>
                <w:szCs w:val="28"/>
              </w:rPr>
            </w:pPr>
            <w:r>
              <w:rPr>
                <w:rFonts w:ascii="Times New Roman" w:hAnsi="Times New Roman"/>
                <w:sz w:val="28"/>
                <w:szCs w:val="28"/>
              </w:rPr>
              <w:t>（单位：元）</w:t>
            </w:r>
          </w:p>
        </w:tc>
        <w:tc>
          <w:tcPr>
            <w:tcW w:w="2835" w:type="dxa"/>
            <w:tcBorders>
              <w:top w:val="single" w:color="auto" w:sz="6" w:space="0"/>
              <w:left w:val="nil"/>
              <w:bottom w:val="single" w:color="auto" w:sz="6" w:space="0"/>
              <w:right w:val="single" w:color="auto" w:sz="6" w:space="0"/>
            </w:tcBorders>
            <w:noWrap/>
            <w:tcMar>
              <w:left w:w="105" w:type="dxa"/>
              <w:right w:w="105" w:type="dxa"/>
            </w:tcMar>
            <w:vAlign w:val="center"/>
          </w:tcPr>
          <w:p>
            <w:pPr>
              <w:pStyle w:val="8"/>
              <w:widowControl/>
              <w:spacing w:beforeAutospacing="0" w:afterAutospacing="0" w:line="500" w:lineRule="exact"/>
              <w:jc w:val="center"/>
              <w:rPr>
                <w:sz w:val="28"/>
                <w:szCs w:val="28"/>
              </w:rPr>
            </w:pPr>
            <w:r>
              <w:rPr>
                <w:rFonts w:ascii="Times New Roman" w:hAnsi="Times New Roman"/>
                <w:sz w:val="28"/>
                <w:szCs w:val="28"/>
              </w:rPr>
              <w:t>备注</w:t>
            </w:r>
          </w:p>
        </w:tc>
      </w:tr>
      <w:tr>
        <w:tblPrEx>
          <w:tblCellMar>
            <w:top w:w="0" w:type="dxa"/>
            <w:left w:w="0" w:type="dxa"/>
            <w:bottom w:w="0" w:type="dxa"/>
            <w:right w:w="0" w:type="dxa"/>
          </w:tblCellMar>
        </w:tblPrEx>
        <w:trPr>
          <w:trHeight w:val="705" w:hRule="atLeast"/>
          <w:tblCellSpacing w:w="0" w:type="dxa"/>
        </w:trPr>
        <w:tc>
          <w:tcPr>
            <w:tcW w:w="2835" w:type="dxa"/>
            <w:tcBorders>
              <w:top w:val="nil"/>
              <w:left w:val="single" w:color="auto" w:sz="6" w:space="0"/>
              <w:bottom w:val="single" w:color="auto" w:sz="6" w:space="0"/>
              <w:right w:val="single" w:color="auto" w:sz="6" w:space="0"/>
            </w:tcBorders>
            <w:noWrap/>
            <w:tcMar>
              <w:left w:w="105" w:type="dxa"/>
              <w:right w:w="105" w:type="dxa"/>
            </w:tcMar>
          </w:tcPr>
          <w:p>
            <w:pPr>
              <w:widowControl/>
              <w:spacing w:line="500" w:lineRule="exact"/>
              <w:jc w:val="center"/>
              <w:rPr>
                <w:rFonts w:ascii="Arial" w:hAnsi="Arial" w:cs="Arial"/>
                <w:sz w:val="28"/>
                <w:szCs w:val="28"/>
              </w:rPr>
            </w:pPr>
          </w:p>
        </w:tc>
        <w:tc>
          <w:tcPr>
            <w:tcW w:w="2835" w:type="dxa"/>
            <w:tcBorders>
              <w:top w:val="nil"/>
              <w:left w:val="nil"/>
              <w:bottom w:val="single" w:color="auto" w:sz="6" w:space="0"/>
              <w:right w:val="single" w:color="auto" w:sz="6" w:space="0"/>
            </w:tcBorders>
            <w:noWrap/>
            <w:tcMar>
              <w:left w:w="105" w:type="dxa"/>
              <w:right w:w="105" w:type="dxa"/>
            </w:tcMar>
          </w:tcPr>
          <w:p>
            <w:pPr>
              <w:widowControl/>
              <w:spacing w:line="500" w:lineRule="exact"/>
              <w:jc w:val="center"/>
              <w:rPr>
                <w:rFonts w:ascii="Arial" w:hAnsi="Arial" w:cs="Arial"/>
                <w:sz w:val="28"/>
                <w:szCs w:val="28"/>
              </w:rPr>
            </w:pPr>
          </w:p>
        </w:tc>
        <w:tc>
          <w:tcPr>
            <w:tcW w:w="2835" w:type="dxa"/>
            <w:tcBorders>
              <w:top w:val="nil"/>
              <w:left w:val="nil"/>
              <w:bottom w:val="single" w:color="auto" w:sz="6" w:space="0"/>
              <w:right w:val="single" w:color="auto" w:sz="6" w:space="0"/>
            </w:tcBorders>
            <w:noWrap/>
            <w:tcMar>
              <w:left w:w="105" w:type="dxa"/>
              <w:right w:w="105" w:type="dxa"/>
            </w:tcMar>
          </w:tcPr>
          <w:p>
            <w:pPr>
              <w:widowControl/>
              <w:spacing w:line="500" w:lineRule="exact"/>
              <w:jc w:val="center"/>
              <w:rPr>
                <w:rFonts w:ascii="Arial" w:hAnsi="Arial" w:cs="Arial"/>
                <w:sz w:val="28"/>
                <w:szCs w:val="28"/>
              </w:rPr>
            </w:pPr>
          </w:p>
        </w:tc>
      </w:tr>
    </w:tbl>
    <w:p>
      <w:pPr>
        <w:pStyle w:val="8"/>
        <w:widowControl/>
        <w:spacing w:before="29" w:beforeAutospacing="0" w:after="29" w:afterAutospacing="0" w:line="562" w:lineRule="atLeast"/>
      </w:pPr>
    </w:p>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64" w:lineRule="auto"/>
      </w:pPr>
      <w:r>
        <w:separator/>
      </w:r>
    </w:p>
  </w:footnote>
  <w:footnote w:type="continuationSeparator" w:id="1">
    <w:p>
      <w:pPr>
        <w:spacing w:line="264"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zAxNzgyNjMwNTMxNzJiNmI4ZWYxYzM4N2E4MjA0NDIifQ=="/>
  </w:docVars>
  <w:rsids>
    <w:rsidRoot w:val="003433D5"/>
    <w:rsid w:val="00270B84"/>
    <w:rsid w:val="003433D5"/>
    <w:rsid w:val="00724552"/>
    <w:rsid w:val="007A247F"/>
    <w:rsid w:val="00E109AB"/>
    <w:rsid w:val="028015EE"/>
    <w:rsid w:val="02AE4984"/>
    <w:rsid w:val="04777F8C"/>
    <w:rsid w:val="056D68DF"/>
    <w:rsid w:val="07677FEF"/>
    <w:rsid w:val="08077D9A"/>
    <w:rsid w:val="0B420FC5"/>
    <w:rsid w:val="0D525A37"/>
    <w:rsid w:val="0E1152F5"/>
    <w:rsid w:val="0E1D7868"/>
    <w:rsid w:val="0E8704A8"/>
    <w:rsid w:val="0F0A252D"/>
    <w:rsid w:val="0F737932"/>
    <w:rsid w:val="1212015E"/>
    <w:rsid w:val="12C45443"/>
    <w:rsid w:val="12E46EA3"/>
    <w:rsid w:val="1305146E"/>
    <w:rsid w:val="14892BEE"/>
    <w:rsid w:val="18865D68"/>
    <w:rsid w:val="19372A86"/>
    <w:rsid w:val="1ABE35A8"/>
    <w:rsid w:val="1B6F69BF"/>
    <w:rsid w:val="1CA572EC"/>
    <w:rsid w:val="1CBA566C"/>
    <w:rsid w:val="1D434E54"/>
    <w:rsid w:val="1EBC3110"/>
    <w:rsid w:val="20080CE0"/>
    <w:rsid w:val="238B19CF"/>
    <w:rsid w:val="241307CE"/>
    <w:rsid w:val="24CA26C7"/>
    <w:rsid w:val="25710D98"/>
    <w:rsid w:val="25D55C67"/>
    <w:rsid w:val="26035B5F"/>
    <w:rsid w:val="262D602D"/>
    <w:rsid w:val="28D428DE"/>
    <w:rsid w:val="29E95513"/>
    <w:rsid w:val="2AB70C30"/>
    <w:rsid w:val="2CE5506B"/>
    <w:rsid w:val="2E7B2BEC"/>
    <w:rsid w:val="30C16A34"/>
    <w:rsid w:val="30D70938"/>
    <w:rsid w:val="31BB70D6"/>
    <w:rsid w:val="31DD1C5F"/>
    <w:rsid w:val="3247681B"/>
    <w:rsid w:val="32AD3010"/>
    <w:rsid w:val="34891977"/>
    <w:rsid w:val="35004C19"/>
    <w:rsid w:val="361C228F"/>
    <w:rsid w:val="36913CE5"/>
    <w:rsid w:val="370105C4"/>
    <w:rsid w:val="37AB54DB"/>
    <w:rsid w:val="38ED46AA"/>
    <w:rsid w:val="396106E4"/>
    <w:rsid w:val="39DE552C"/>
    <w:rsid w:val="3B27379B"/>
    <w:rsid w:val="3DC26BB7"/>
    <w:rsid w:val="3DDD2A78"/>
    <w:rsid w:val="40B82BB4"/>
    <w:rsid w:val="41CC6917"/>
    <w:rsid w:val="45344EFF"/>
    <w:rsid w:val="458570F1"/>
    <w:rsid w:val="46E134C9"/>
    <w:rsid w:val="48A571F0"/>
    <w:rsid w:val="49033566"/>
    <w:rsid w:val="49293FCF"/>
    <w:rsid w:val="4B9B63B3"/>
    <w:rsid w:val="4C2C5B20"/>
    <w:rsid w:val="4D0F476D"/>
    <w:rsid w:val="4F0333BB"/>
    <w:rsid w:val="4F722A6B"/>
    <w:rsid w:val="4FA90297"/>
    <w:rsid w:val="4FFB3273"/>
    <w:rsid w:val="52500E9E"/>
    <w:rsid w:val="549C6FC1"/>
    <w:rsid w:val="5A19426B"/>
    <w:rsid w:val="5BC0187D"/>
    <w:rsid w:val="5C0C4361"/>
    <w:rsid w:val="5C210521"/>
    <w:rsid w:val="5C4E617F"/>
    <w:rsid w:val="62C165F1"/>
    <w:rsid w:val="63050BC3"/>
    <w:rsid w:val="638C61EF"/>
    <w:rsid w:val="65B65064"/>
    <w:rsid w:val="67AB0BF9"/>
    <w:rsid w:val="67EA444E"/>
    <w:rsid w:val="68CB7079"/>
    <w:rsid w:val="69587CE7"/>
    <w:rsid w:val="6ACB0C78"/>
    <w:rsid w:val="6B9E0A74"/>
    <w:rsid w:val="6C6B24FC"/>
    <w:rsid w:val="6DBA49BC"/>
    <w:rsid w:val="6DBB3095"/>
    <w:rsid w:val="6E976D48"/>
    <w:rsid w:val="6F0A12EA"/>
    <w:rsid w:val="70F1747B"/>
    <w:rsid w:val="7211193A"/>
    <w:rsid w:val="72841B9E"/>
    <w:rsid w:val="733200EB"/>
    <w:rsid w:val="73B940A9"/>
    <w:rsid w:val="73F5685F"/>
    <w:rsid w:val="75614FED"/>
    <w:rsid w:val="76290955"/>
    <w:rsid w:val="76404CE1"/>
    <w:rsid w:val="773C1EBB"/>
    <w:rsid w:val="77CD1009"/>
    <w:rsid w:val="78CD2757"/>
    <w:rsid w:val="79246938"/>
    <w:rsid w:val="7925024F"/>
    <w:rsid w:val="79E53402"/>
    <w:rsid w:val="7E4245C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264" w:lineRule="auto"/>
      <w:jc w:val="both"/>
    </w:pPr>
    <w:rPr>
      <w:rFonts w:ascii="Calibri" w:hAnsi="Calibri" w:eastAsia="宋体" w:cs="Times New Roman"/>
      <w:kern w:val="2"/>
      <w:sz w:val="24"/>
      <w:szCs w:val="24"/>
      <w:lang w:val="en-US" w:eastAsia="zh-CN" w:bidi="ar-SA"/>
    </w:rPr>
  </w:style>
  <w:style w:type="paragraph" w:styleId="3">
    <w:name w:val="heading 1"/>
    <w:basedOn w:val="1"/>
    <w:next w:val="1"/>
    <w:link w:val="14"/>
    <w:autoRedefine/>
    <w:qFormat/>
    <w:uiPriority w:val="0"/>
    <w:pPr>
      <w:keepNext/>
      <w:keepLines/>
      <w:spacing w:line="360" w:lineRule="auto"/>
      <w:jc w:val="center"/>
      <w:outlineLvl w:val="0"/>
    </w:pPr>
    <w:rPr>
      <w:b/>
      <w:kern w:val="44"/>
      <w:sz w:val="32"/>
    </w:rPr>
  </w:style>
  <w:style w:type="paragraph" w:styleId="4">
    <w:name w:val="heading 2"/>
    <w:basedOn w:val="1"/>
    <w:next w:val="1"/>
    <w:link w:val="13"/>
    <w:autoRedefine/>
    <w:semiHidden/>
    <w:unhideWhenUsed/>
    <w:qFormat/>
    <w:uiPriority w:val="0"/>
    <w:pPr>
      <w:keepNext/>
      <w:keepLines/>
      <w:spacing w:line="360" w:lineRule="auto"/>
      <w:jc w:val="center"/>
      <w:outlineLvl w:val="1"/>
    </w:pPr>
    <w:rPr>
      <w:rFonts w:ascii="Arial" w:hAnsi="Arial"/>
      <w:b/>
      <w:sz w:val="30"/>
    </w:rPr>
  </w:style>
  <w:style w:type="paragraph" w:styleId="5">
    <w:name w:val="heading 3"/>
    <w:basedOn w:val="1"/>
    <w:next w:val="1"/>
    <w:autoRedefine/>
    <w:semiHidden/>
    <w:unhideWhenUsed/>
    <w:qFormat/>
    <w:uiPriority w:val="0"/>
    <w:pPr>
      <w:keepNext/>
      <w:keepLines/>
      <w:spacing w:line="360" w:lineRule="auto"/>
      <w:jc w:val="center"/>
      <w:outlineLvl w:val="2"/>
    </w:pPr>
    <w:rPr>
      <w:b/>
      <w:sz w:val="28"/>
    </w:rPr>
  </w:style>
  <w:style w:type="paragraph" w:styleId="6">
    <w:name w:val="heading 4"/>
    <w:basedOn w:val="1"/>
    <w:next w:val="1"/>
    <w:autoRedefine/>
    <w:semiHidden/>
    <w:unhideWhenUsed/>
    <w:qFormat/>
    <w:uiPriority w:val="0"/>
    <w:pPr>
      <w:keepNext/>
      <w:keepLines/>
      <w:spacing w:line="360" w:lineRule="auto"/>
      <w:jc w:val="center"/>
      <w:outlineLvl w:val="3"/>
    </w:pPr>
    <w:rPr>
      <w:rFonts w:ascii="Arial" w:hAnsi="Arial" w:eastAsia="黑体"/>
      <w:b/>
    </w:rPr>
  </w:style>
  <w:style w:type="character" w:default="1" w:styleId="11">
    <w:name w:val="Default Paragraph Font"/>
    <w:autoRedefine/>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Plain Text"/>
    <w:basedOn w:val="1"/>
    <w:next w:val="1"/>
    <w:autoRedefine/>
    <w:qFormat/>
    <w:uiPriority w:val="0"/>
    <w:rPr>
      <w:rFonts w:ascii="宋体" w:hAnsi="Courier New"/>
    </w:rPr>
  </w:style>
  <w:style w:type="paragraph" w:styleId="7">
    <w:name w:val="annotation text"/>
    <w:basedOn w:val="1"/>
    <w:autoRedefine/>
    <w:unhideWhenUsed/>
    <w:qFormat/>
    <w:uiPriority w:val="0"/>
    <w:pPr>
      <w:jc w:val="left"/>
    </w:pPr>
  </w:style>
  <w:style w:type="paragraph" w:styleId="8">
    <w:name w:val="Normal (Web)"/>
    <w:basedOn w:val="1"/>
    <w:next w:val="1"/>
    <w:autoRedefine/>
    <w:qFormat/>
    <w:uiPriority w:val="0"/>
    <w:pPr>
      <w:spacing w:before="100" w:beforeAutospacing="1" w:after="100" w:afterAutospacing="1"/>
      <w:jc w:val="left"/>
    </w:pPr>
    <w:rPr>
      <w:kern w:val="0"/>
    </w:rPr>
  </w:style>
  <w:style w:type="table" w:styleId="10">
    <w:name w:val="Table Grid"/>
    <w:basedOn w:val="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autoRedefine/>
    <w:qFormat/>
    <w:uiPriority w:val="0"/>
    <w:rPr>
      <w:b/>
    </w:rPr>
  </w:style>
  <w:style w:type="character" w:customStyle="1" w:styleId="13">
    <w:name w:val="标题 2 Char"/>
    <w:link w:val="4"/>
    <w:autoRedefine/>
    <w:qFormat/>
    <w:uiPriority w:val="0"/>
    <w:rPr>
      <w:rFonts w:ascii="Arial" w:hAnsi="Arial" w:eastAsia="宋体" w:cs="Times New Roman"/>
      <w:b/>
      <w:sz w:val="30"/>
    </w:rPr>
  </w:style>
  <w:style w:type="character" w:customStyle="1" w:styleId="14">
    <w:name w:val="标题 1 Char"/>
    <w:link w:val="3"/>
    <w:autoRedefine/>
    <w:qFormat/>
    <w:uiPriority w:val="0"/>
    <w:rPr>
      <w:rFonts w:ascii="Calibri" w:hAnsi="Calibri" w:eastAsia="宋体" w:cs="Times New Roman"/>
      <w:b/>
      <w:kern w:val="44"/>
      <w:sz w:val="32"/>
    </w:rPr>
  </w:style>
  <w:style w:type="paragraph" w:customStyle="1" w:styleId="15">
    <w:name w:val="DAS正文"/>
    <w:basedOn w:val="1"/>
    <w:autoRedefine/>
    <w:qFormat/>
    <w:uiPriority w:val="0"/>
    <w:pPr>
      <w:ind w:right="181"/>
    </w:pPr>
    <w:rPr>
      <w:rFonts w:ascii="Verdana" w:hAnsi="Verdana"/>
    </w:rPr>
  </w:style>
  <w:style w:type="character" w:customStyle="1" w:styleId="16">
    <w:name w:val="font01"/>
    <w:basedOn w:val="11"/>
    <w:autoRedefine/>
    <w:qFormat/>
    <w:uiPriority w:val="0"/>
    <w:rPr>
      <w:rFonts w:hint="eastAsia" w:ascii="宋体" w:hAnsi="宋体" w:eastAsia="宋体" w:cs="宋体"/>
      <w:color w:val="000000"/>
      <w:sz w:val="24"/>
      <w:szCs w:val="24"/>
      <w:u w:val="none"/>
    </w:rPr>
  </w:style>
  <w:style w:type="character" w:customStyle="1" w:styleId="17">
    <w:name w:val="font21"/>
    <w:basedOn w:val="11"/>
    <w:autoRedefine/>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85</Words>
  <Characters>491</Characters>
  <Lines>4</Lines>
  <Paragraphs>1</Paragraphs>
  <TotalTime>0</TotalTime>
  <ScaleCrop>false</ScaleCrop>
  <LinksUpToDate>false</LinksUpToDate>
  <CharactersWithSpaces>575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2025-09-15T03:17:00Z</dcterms:created>
  <dc:creator>90462</dc:creator>
  <cp:lastModifiedBy>黄雅玲</cp:lastModifiedBy>
  <cp:lastPrinted>2024-07-02T02:39:00Z</cp:lastPrinted>
  <dcterms:modified xsi:type="dcterms:W3CDTF">2025-09-16T03:02:56Z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4CF051BD87764FD4A3E139BCAA4684E0_13</vt:lpwstr>
  </property>
</Properties>
</file>